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r>
        <w:rPr>
          <w:rFonts w:hint="eastAsia"/>
          <w:lang w:eastAsia="zh-CN"/>
        </w:rPr>
        <w:t>《</w:t>
      </w:r>
      <w:r>
        <w:rPr>
          <w:rFonts w:hint="eastAsia"/>
        </w:rPr>
        <w:t>内蒙古自治区药品监管行政处罚裁量</w:t>
      </w:r>
      <w:r>
        <w:rPr>
          <w:rFonts w:hint="eastAsia"/>
          <w:lang w:eastAsia="zh-CN"/>
        </w:rPr>
        <w:t>权适用规则</w:t>
      </w:r>
      <w:r>
        <w:rPr>
          <w:rFonts w:hint="eastAsia"/>
          <w:lang w:eastAsia="zh-CN"/>
        </w:rPr>
        <w:t>（征求意见稿）</w:t>
      </w:r>
      <w:r>
        <w:rPr>
          <w:rFonts w:hint="eastAsia"/>
          <w:lang w:eastAsia="zh-CN"/>
        </w:rPr>
        <w:t>》</w:t>
      </w:r>
      <w:r>
        <w:rPr>
          <w:rFonts w:hint="eastAsia"/>
          <w:lang w:val="en-US" w:eastAsia="zh-CN"/>
        </w:rPr>
        <w:t>起草说明</w:t>
      </w:r>
      <w:bookmarkStart w:id="0" w:name="_GoBack"/>
      <w:bookmarkEnd w:id="0"/>
    </w:p>
    <w:p>
      <w:pPr>
        <w:rPr>
          <w:rFonts w:hint="default"/>
        </w:rPr>
      </w:pPr>
    </w:p>
    <w:p>
      <w:pPr>
        <w:rPr>
          <w:rFonts w:hint="eastAsia"/>
        </w:rPr>
      </w:pPr>
      <w:r>
        <w:rPr>
          <w:rFonts w:hint="eastAsia"/>
          <w:lang w:eastAsia="zh-CN"/>
        </w:rPr>
        <w:t>一、起草</w:t>
      </w:r>
      <w:r>
        <w:rPr>
          <w:rFonts w:hint="eastAsia"/>
        </w:rPr>
        <w:t>背景</w:t>
      </w:r>
    </w:p>
    <w:p>
      <w:pPr>
        <w:rPr>
          <w:rFonts w:hint="eastAsia"/>
        </w:rPr>
      </w:pPr>
      <w:r>
        <w:rPr>
          <w:rFonts w:hint="eastAsia"/>
        </w:rPr>
        <w:t>我局202</w:t>
      </w:r>
      <w:r>
        <w:rPr>
          <w:rFonts w:hint="eastAsia"/>
          <w:lang w:val="en-US" w:eastAsia="zh-CN"/>
        </w:rPr>
        <w:t>1</w:t>
      </w:r>
      <w:r>
        <w:rPr>
          <w:rFonts w:hint="eastAsia"/>
        </w:rPr>
        <w:t>年</w:t>
      </w:r>
      <w:r>
        <w:rPr>
          <w:rFonts w:hint="eastAsia"/>
          <w:lang w:val="en-US" w:eastAsia="zh-CN"/>
        </w:rPr>
        <w:t>3</w:t>
      </w:r>
      <w:r>
        <w:rPr>
          <w:rFonts w:hint="eastAsia"/>
        </w:rPr>
        <w:t>月</w:t>
      </w:r>
      <w:r>
        <w:rPr>
          <w:rFonts w:hint="eastAsia"/>
          <w:lang w:val="en-US" w:eastAsia="zh-CN"/>
        </w:rPr>
        <w:t>9</w:t>
      </w:r>
      <w:r>
        <w:rPr>
          <w:rFonts w:hint="eastAsia"/>
        </w:rPr>
        <w:t>日制定印发了</w:t>
      </w:r>
      <w:r>
        <w:rPr>
          <w:rFonts w:hint="eastAsia"/>
        </w:rPr>
        <w:t>《内蒙古自治区药品监管行政处罚裁量基准（试行）</w:t>
      </w:r>
      <w:r>
        <w:rPr>
          <w:rFonts w:hint="eastAsia"/>
          <w:lang w:eastAsia="zh-CN"/>
        </w:rPr>
        <w:t>》</w:t>
      </w:r>
      <w:r>
        <w:rPr>
          <w:rFonts w:hint="eastAsia"/>
        </w:rPr>
        <w:t>，是全区</w:t>
      </w:r>
      <w:r>
        <w:rPr>
          <w:rFonts w:hint="eastAsia"/>
          <w:lang w:eastAsia="zh-CN"/>
        </w:rPr>
        <w:t>药品</w:t>
      </w:r>
      <w:r>
        <w:rPr>
          <w:rFonts w:hint="eastAsia"/>
        </w:rPr>
        <w:t>监管部门行使行政处罚裁量权的重要依据。2021年新修订了《中华人民共和国行政处罚法》，明确了过罚相当原则、处罚与教育相结合原则，关于对不予、减轻、从轻、从重等行政处罚裁量情形的规定有一定变化；2022年《市场监管总局印发〈关于规范市场监管行政处罚裁量权的指导意见〉的通知》（国市监法规〔2022〕2号）对行政处罚裁量规则作出了新规定。</w:t>
      </w:r>
      <w:r>
        <w:rPr>
          <w:rFonts w:hint="eastAsia"/>
          <w:lang w:val="en-US" w:eastAsia="zh-CN"/>
        </w:rPr>
        <w:t>2023年1月自治区市场监管局关于印发《内蒙古自治区市场监督管理行政处罚裁量权适用规则》的通知对行政处罚裁量权规则进行了具体细化。</w:t>
      </w:r>
      <w:r>
        <w:rPr>
          <w:rFonts w:hint="eastAsia"/>
        </w:rPr>
        <w:t>同时，近几年来，基层同志反映在执法实践中还存在一些裁量困惑需要解决。为此，有必要重新制定该规则，进一步规范</w:t>
      </w:r>
      <w:r>
        <w:rPr>
          <w:rFonts w:hint="eastAsia"/>
          <w:lang w:eastAsia="zh-CN"/>
        </w:rPr>
        <w:t>药品</w:t>
      </w:r>
      <w:r>
        <w:rPr>
          <w:rFonts w:hint="eastAsia"/>
        </w:rPr>
        <w:t>监管行政处罚裁量行为，推进</w:t>
      </w:r>
      <w:r>
        <w:rPr>
          <w:rFonts w:hint="eastAsia"/>
          <w:lang w:eastAsia="zh-CN"/>
        </w:rPr>
        <w:t>药品</w:t>
      </w:r>
      <w:r>
        <w:rPr>
          <w:rFonts w:hint="eastAsia"/>
        </w:rPr>
        <w:t>监管法治化，维护当事人合法权益。</w:t>
      </w:r>
    </w:p>
    <w:p>
      <w:pPr>
        <w:rPr>
          <w:rFonts w:hint="eastAsia"/>
          <w:lang w:eastAsia="zh-CN"/>
        </w:rPr>
      </w:pPr>
      <w:r>
        <w:rPr>
          <w:rFonts w:hint="eastAsia"/>
          <w:lang w:eastAsia="zh-CN"/>
        </w:rPr>
        <w:t>二、起草过程</w:t>
      </w:r>
    </w:p>
    <w:p>
      <w:pPr>
        <w:rPr>
          <w:rFonts w:hint="eastAsia"/>
        </w:rPr>
      </w:pPr>
      <w:r>
        <w:rPr>
          <w:rFonts w:hint="eastAsia"/>
        </w:rPr>
        <w:t>为贯彻落实《中华人民共和国行政处罚法</w:t>
      </w:r>
      <w:r>
        <w:rPr>
          <w:rFonts w:hint="eastAsia"/>
          <w:lang w:eastAsia="zh-CN"/>
        </w:rPr>
        <w:t>》</w:t>
      </w:r>
      <w:r>
        <w:rPr>
          <w:rFonts w:hint="eastAsia"/>
        </w:rPr>
        <w:t>《国务院办公厅关于进一步规范行政裁量权基准制定和管理工作的意见》《市场监管总局印发〈关于规范市场监督管理行政处罚裁量权的指导意见〉的通知》</w:t>
      </w:r>
      <w:r>
        <w:rPr>
          <w:rFonts w:hint="eastAsia"/>
        </w:rPr>
        <w:t>，我局于202</w:t>
      </w:r>
      <w:r>
        <w:rPr>
          <w:rFonts w:hint="eastAsia"/>
          <w:lang w:val="en-US" w:eastAsia="zh-CN"/>
        </w:rPr>
        <w:t>2</w:t>
      </w:r>
      <w:r>
        <w:rPr>
          <w:rFonts w:hint="eastAsia"/>
        </w:rPr>
        <w:t>年</w:t>
      </w:r>
      <w:r>
        <w:rPr>
          <w:rFonts w:hint="eastAsia"/>
          <w:lang w:val="en-US" w:eastAsia="zh-CN"/>
        </w:rPr>
        <w:t>10</w:t>
      </w:r>
      <w:r>
        <w:rPr>
          <w:rFonts w:hint="eastAsia"/>
        </w:rPr>
        <w:t>月份开始启动</w:t>
      </w:r>
      <w:r>
        <w:rPr>
          <w:rFonts w:hint="eastAsia"/>
        </w:rPr>
        <w:t>《内蒙古自治区药品监管行政处罚裁量基准（试行）</w:t>
      </w:r>
      <w:r>
        <w:rPr>
          <w:rFonts w:hint="eastAsia"/>
          <w:lang w:eastAsia="zh-CN"/>
        </w:rPr>
        <w:t>》</w:t>
      </w:r>
      <w:r>
        <w:rPr>
          <w:rFonts w:hint="eastAsia"/>
        </w:rPr>
        <w:t>的修订工作。通过逐条梳理，专家论证，反复修改完善，形成</w:t>
      </w:r>
      <w:r>
        <w:rPr>
          <w:rFonts w:hint="eastAsia"/>
          <w:lang w:eastAsia="zh-CN"/>
        </w:rPr>
        <w:t>《内蒙古自治区药品监管行政处罚裁量权适用规则》（征求意见稿）</w:t>
      </w:r>
      <w:r>
        <w:rPr>
          <w:rFonts w:hint="eastAsia"/>
        </w:rPr>
        <w:t>。</w:t>
      </w:r>
    </w:p>
    <w:p>
      <w:pPr>
        <w:rPr>
          <w:rFonts w:hint="eastAsia"/>
        </w:rPr>
      </w:pPr>
      <w:r>
        <w:rPr>
          <w:rFonts w:hint="eastAsia"/>
          <w:lang w:eastAsia="zh-CN"/>
        </w:rPr>
        <w:t>三</w:t>
      </w:r>
      <w:r>
        <w:rPr>
          <w:rFonts w:hint="eastAsia"/>
        </w:rPr>
        <w:t>、起草依据</w:t>
      </w:r>
    </w:p>
    <w:p>
      <w:pPr>
        <w:rPr>
          <w:rFonts w:hint="eastAsia"/>
          <w:lang w:eastAsia="zh-CN"/>
        </w:rPr>
      </w:pPr>
      <w:r>
        <w:rPr>
          <w:rFonts w:hint="eastAsia"/>
        </w:rPr>
        <w:t>《中华人民共和国行政处罚法》</w:t>
      </w:r>
      <w:r>
        <w:rPr>
          <w:rFonts w:hint="eastAsia"/>
          <w:lang w:eastAsia="zh-CN"/>
        </w:rPr>
        <w:t>和</w:t>
      </w:r>
      <w:r>
        <w:rPr>
          <w:rFonts w:hint="eastAsia"/>
        </w:rPr>
        <w:t>《国务院关于进一步贯彻实施〈中华人民共和国行政处罚法〉的通知》《国务院办公厅关于进一步规范行政裁量权基准制定和管理工作的意见》《市场监管总局印发〈关于规范市场监督管理行政处罚裁量权的指导意见〉的通知》《内蒙古自治区人民政府关于印发〈内蒙古自治区规范行政处罚裁量权基准办法〉的通知》</w:t>
      </w:r>
      <w:r>
        <w:rPr>
          <w:rFonts w:hint="eastAsia"/>
          <w:lang w:val="en-US" w:eastAsia="zh-CN"/>
        </w:rPr>
        <w:t>《内蒙古自治区市场监管行政处罚自由裁量权适用规则》以及</w:t>
      </w:r>
      <w:r>
        <w:rPr>
          <w:rFonts w:hint="eastAsia"/>
        </w:rPr>
        <w:t>其他相关规定</w:t>
      </w:r>
      <w:r>
        <w:rPr>
          <w:rFonts w:hint="eastAsia"/>
          <w:lang w:eastAsia="zh-CN"/>
        </w:rPr>
        <w:t>。</w:t>
      </w:r>
    </w:p>
    <w:p>
      <w:pPr>
        <w:rPr>
          <w:rFonts w:hint="eastAsia"/>
        </w:rPr>
      </w:pPr>
      <w:r>
        <w:rPr>
          <w:rFonts w:hint="eastAsia"/>
          <w:lang w:eastAsia="zh-CN"/>
        </w:rPr>
        <w:t>四</w:t>
      </w:r>
      <w:r>
        <w:rPr>
          <w:rFonts w:hint="eastAsia"/>
        </w:rPr>
        <w:t>、主要内容</w:t>
      </w:r>
    </w:p>
    <w:p>
      <w:pPr>
        <w:rPr>
          <w:rFonts w:hint="eastAsia"/>
        </w:rPr>
      </w:pPr>
      <w:r>
        <w:rPr>
          <w:rFonts w:hint="eastAsia"/>
        </w:rPr>
        <w:t>（一）规定了行政处罚裁量权适用规则与行政处罚裁量基准的适用原则。</w:t>
      </w:r>
    </w:p>
    <w:p>
      <w:pPr>
        <w:rPr>
          <w:rFonts w:hint="eastAsia"/>
        </w:rPr>
      </w:pPr>
      <w:r>
        <w:rPr>
          <w:rFonts w:hint="eastAsia"/>
        </w:rPr>
        <w:t>（二）规定了不予行政处罚、减轻行政处罚、从轻行政处罚、从重行政处罚和一般行政处罚以及行政处罚裁量权的概念，同时细化了具体适用情形。</w:t>
      </w:r>
    </w:p>
    <w:p>
      <w:pPr>
        <w:rPr>
          <w:rFonts w:hint="eastAsia"/>
        </w:rPr>
      </w:pPr>
      <w:r>
        <w:rPr>
          <w:rFonts w:hint="eastAsia"/>
        </w:rPr>
        <w:t>（三）增加了“应当依法不予行政处罚”“不再给予行政处罚”“可以不予行政处罚”等情形。</w:t>
      </w:r>
    </w:p>
    <w:p>
      <w:pPr>
        <w:rPr>
          <w:rFonts w:hint="eastAsia"/>
        </w:rPr>
      </w:pPr>
      <w:r>
        <w:rPr>
          <w:rFonts w:hint="eastAsia"/>
        </w:rPr>
        <w:t>（四）增加了不予行政处罚、减轻行政处罚、从轻行政处罚、从重行政处罚和一般行政处罚的</w:t>
      </w:r>
      <w:r>
        <w:rPr>
          <w:rFonts w:hint="eastAsia"/>
          <w:lang w:eastAsia="zh-CN"/>
        </w:rPr>
        <w:t>判定</w:t>
      </w:r>
      <w:r>
        <w:rPr>
          <w:rFonts w:hint="eastAsia"/>
        </w:rPr>
        <w:t>规则。</w:t>
      </w:r>
    </w:p>
    <w:p>
      <w:pPr>
        <w:rPr>
          <w:rFonts w:hint="eastAsia"/>
        </w:rPr>
      </w:pPr>
      <w:r>
        <w:rPr>
          <w:rFonts w:hint="eastAsia"/>
        </w:rPr>
        <w:t>（五）规定了当事人具有多种裁量因素的裁量原则。</w:t>
      </w:r>
    </w:p>
    <w:p>
      <w:pPr>
        <w:rPr>
          <w:rFonts w:hint="eastAsia"/>
        </w:rPr>
      </w:pPr>
      <w:r>
        <w:rPr>
          <w:rFonts w:hint="eastAsia"/>
        </w:rPr>
        <w:t>（六）规定了当事人同一违法行为违反多个法律规范，或者同一当事人有两种以上违法行为的法律适用规则。</w:t>
      </w:r>
    </w:p>
    <w:p>
      <w:pPr>
        <w:rPr>
          <w:rFonts w:hint="eastAsia"/>
          <w:lang w:eastAsia="zh-CN"/>
        </w:rPr>
      </w:pPr>
      <w:r>
        <w:rPr>
          <w:rFonts w:hint="eastAsia"/>
          <w:lang w:eastAsia="zh-CN"/>
        </w:rPr>
        <w:t>（七）将裁量标准与通用裁量基准整合，形成本裁量规则。</w:t>
      </w:r>
    </w:p>
    <w:p>
      <w:pPr>
        <w:rPr>
          <w:rFonts w:hint="eastAsia"/>
        </w:rPr>
      </w:pPr>
      <w:r>
        <w:rPr>
          <w:rFonts w:hint="eastAsia"/>
        </w:rPr>
        <w:t>（</w:t>
      </w:r>
      <w:r>
        <w:rPr>
          <w:rFonts w:hint="eastAsia"/>
          <w:lang w:eastAsia="zh-CN"/>
        </w:rPr>
        <w:t>八</w:t>
      </w:r>
      <w:r>
        <w:rPr>
          <w:rFonts w:hint="eastAsia"/>
        </w:rPr>
        <w:t>）规定了案件承办机构应当收集可能影响行政处罚裁量的证据义务。</w:t>
      </w:r>
    </w:p>
    <w:p>
      <w:pPr>
        <w:rPr>
          <w:rFonts w:hint="eastAsia"/>
        </w:rPr>
      </w:pPr>
      <w:r>
        <w:rPr>
          <w:rFonts w:hint="eastAsia"/>
        </w:rPr>
        <w:t>（</w:t>
      </w:r>
      <w:r>
        <w:rPr>
          <w:rFonts w:hint="eastAsia"/>
          <w:lang w:eastAsia="zh-CN"/>
        </w:rPr>
        <w:t>九</w:t>
      </w:r>
      <w:r>
        <w:rPr>
          <w:rFonts w:hint="eastAsia"/>
        </w:rPr>
        <w:t>）规定了对行政处罚裁量不当的纠错机制。</w:t>
      </w:r>
    </w:p>
    <w:p>
      <w:pPr>
        <w:rPr>
          <w:rFonts w:hint="eastAsia"/>
          <w:lang w:eastAsia="zh-CN"/>
        </w:rPr>
      </w:pPr>
      <w:r>
        <w:rPr>
          <w:rFonts w:hint="eastAsia"/>
          <w:lang w:eastAsia="zh-CN"/>
        </w:rPr>
        <w:t>（十）增加了首次违法、及时改正等专业术语含义。</w:t>
      </w:r>
    </w:p>
    <w:p/>
    <w:sectPr>
      <w:pgSz w:w="11905" w:h="16838"/>
      <w:pgMar w:top="2098" w:right="1474" w:bottom="1984" w:left="1587" w:header="720" w:footer="720" w:gutter="0"/>
      <w:pgNumType w:fmt="decimal"/>
      <w:cols w:space="0" w:num="1"/>
      <w:rtlGutter w:val="0"/>
      <w:docGrid w:type="linesAndChars" w:linePitch="60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黑体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814A75"/>
    <w:rsid w:val="04153508"/>
    <w:rsid w:val="050F44AA"/>
    <w:rsid w:val="19F34759"/>
    <w:rsid w:val="1B754F94"/>
    <w:rsid w:val="1CD509AF"/>
    <w:rsid w:val="1E8F5846"/>
    <w:rsid w:val="26F02792"/>
    <w:rsid w:val="2970148F"/>
    <w:rsid w:val="314725EE"/>
    <w:rsid w:val="33304620"/>
    <w:rsid w:val="33FC622B"/>
    <w:rsid w:val="361D6EDA"/>
    <w:rsid w:val="38EF2F45"/>
    <w:rsid w:val="3A040024"/>
    <w:rsid w:val="3B185699"/>
    <w:rsid w:val="3E0318AF"/>
    <w:rsid w:val="3E1D732D"/>
    <w:rsid w:val="3FCB7463"/>
    <w:rsid w:val="43FB592F"/>
    <w:rsid w:val="45095DC8"/>
    <w:rsid w:val="482C7E10"/>
    <w:rsid w:val="48522CD2"/>
    <w:rsid w:val="487C6721"/>
    <w:rsid w:val="489020C4"/>
    <w:rsid w:val="4923620A"/>
    <w:rsid w:val="4A136C22"/>
    <w:rsid w:val="4D1911C8"/>
    <w:rsid w:val="4DE024A8"/>
    <w:rsid w:val="4E0D6AB1"/>
    <w:rsid w:val="4FF43427"/>
    <w:rsid w:val="51892094"/>
    <w:rsid w:val="52A9727E"/>
    <w:rsid w:val="5A456C70"/>
    <w:rsid w:val="5BFC585C"/>
    <w:rsid w:val="5C330773"/>
    <w:rsid w:val="5C865A2E"/>
    <w:rsid w:val="63212467"/>
    <w:rsid w:val="67DF2EBB"/>
    <w:rsid w:val="6B4D7AD6"/>
    <w:rsid w:val="6D2852B3"/>
    <w:rsid w:val="6F786087"/>
    <w:rsid w:val="7004581A"/>
    <w:rsid w:val="70E03C37"/>
    <w:rsid w:val="714374C4"/>
    <w:rsid w:val="72A317E0"/>
    <w:rsid w:val="744D1660"/>
    <w:rsid w:val="76F06D33"/>
    <w:rsid w:val="79E0382C"/>
    <w:rsid w:val="7CBB2B9C"/>
    <w:rsid w:val="7FC56C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3"/>
    <w:qFormat/>
    <w:uiPriority w:val="0"/>
    <w:pPr>
      <w:spacing w:before="0" w:beforeAutospacing="0" w:after="0" w:afterAutospacing="0" w:line="560" w:lineRule="exact"/>
      <w:ind w:firstLine="640" w:firstLineChars="200"/>
      <w:jc w:val="left"/>
    </w:pPr>
    <w:rPr>
      <w:rFonts w:hint="eastAsia" w:ascii="宋体" w:hAnsi="宋体" w:eastAsia="黑体" w:cs="宋体"/>
      <w:bCs/>
      <w:kern w:val="44"/>
      <w:szCs w:val="48"/>
      <w:lang w:bidi="ar"/>
    </w:rPr>
  </w:style>
  <w:style w:type="paragraph" w:styleId="4">
    <w:name w:val="heading 2"/>
    <w:next w:val="1"/>
    <w:link w:val="12"/>
    <w:semiHidden/>
    <w:unhideWhenUsed/>
    <w:qFormat/>
    <w:uiPriority w:val="0"/>
    <w:pPr>
      <w:spacing w:beforeAutospacing="0" w:after="0" w:afterAutospacing="0" w:line="560" w:lineRule="exact"/>
      <w:ind w:firstLine="640" w:firstLineChars="200"/>
      <w:jc w:val="left"/>
      <w:outlineLvl w:val="1"/>
    </w:pPr>
    <w:rPr>
      <w:rFonts w:hint="eastAsia" w:ascii="宋体" w:hAnsi="宋体" w:eastAsia="楷体_GB2312" w:cs="宋体"/>
      <w:b/>
      <w:bCs/>
      <w:kern w:val="0"/>
      <w:sz w:val="32"/>
      <w:szCs w:val="36"/>
      <w:lang w:bidi="ar"/>
    </w:rPr>
  </w:style>
  <w:style w:type="paragraph" w:styleId="5">
    <w:name w:val="heading 3"/>
    <w:basedOn w:val="1"/>
    <w:next w:val="1"/>
    <w:link w:val="14"/>
    <w:semiHidden/>
    <w:unhideWhenUsed/>
    <w:qFormat/>
    <w:uiPriority w:val="0"/>
    <w:pPr>
      <w:keepNext/>
      <w:keepLines/>
      <w:spacing w:beforeLines="0" w:beforeAutospacing="0" w:afterLines="0" w:afterAutospacing="0" w:line="560" w:lineRule="exact"/>
      <w:ind w:firstLine="640" w:firstLineChars="200"/>
      <w:jc w:val="left"/>
      <w:outlineLvl w:val="2"/>
    </w:pPr>
    <w:rPr>
      <w:rFonts w:ascii="Times New Roman" w:hAnsi="Times New Roman"/>
      <w:b/>
    </w:rPr>
  </w:style>
  <w:style w:type="paragraph" w:styleId="6">
    <w:name w:val="heading 4"/>
    <w:basedOn w:val="1"/>
    <w:next w:val="1"/>
    <w:semiHidden/>
    <w:unhideWhenUsed/>
    <w:qFormat/>
    <w:uiPriority w:val="0"/>
    <w:pPr>
      <w:keepNext/>
      <w:keepLines/>
      <w:spacing w:beforeLines="0" w:beforeAutospacing="0" w:afterLines="0" w:afterAutospacing="0" w:line="560" w:lineRule="exact"/>
      <w:outlineLvl w:val="3"/>
    </w:pPr>
    <w:rPr>
      <w:rFonts w:ascii="Times New Roman" w:hAnsi="Times New Roman"/>
      <w:b/>
    </w:rPr>
  </w:style>
  <w:style w:type="character" w:default="1" w:styleId="10">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7">
    <w:name w:val="caption"/>
    <w:basedOn w:val="1"/>
    <w:next w:val="1"/>
    <w:semiHidden/>
    <w:unhideWhenUsed/>
    <w:qFormat/>
    <w:uiPriority w:val="0"/>
    <w:pPr>
      <w:ind w:firstLine="0" w:firstLineChars="0"/>
      <w:jc w:val="center"/>
    </w:pPr>
    <w:rPr>
      <w:rFonts w:ascii="Times New Roman" w:hAnsi="Times New Roman" w:cstheme="majorBidi"/>
      <w:b/>
      <w:sz w:val="28"/>
      <w:szCs w:val="20"/>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customStyle="1" w:styleId="12">
    <w:name w:val="标题 2 Char"/>
    <w:link w:val="4"/>
    <w:qFormat/>
    <w:uiPriority w:val="0"/>
    <w:rPr>
      <w:rFonts w:hint="eastAsia" w:ascii="宋体" w:hAnsi="宋体" w:eastAsia="楷体_GB2312" w:cs="宋体"/>
      <w:b/>
      <w:bCs/>
      <w:kern w:val="0"/>
      <w:sz w:val="32"/>
      <w:szCs w:val="36"/>
      <w:lang w:bidi="ar"/>
    </w:rPr>
  </w:style>
  <w:style w:type="character" w:customStyle="1" w:styleId="13">
    <w:name w:val="标题 1 Char"/>
    <w:link w:val="3"/>
    <w:qFormat/>
    <w:uiPriority w:val="0"/>
    <w:rPr>
      <w:rFonts w:hint="eastAsia" w:ascii="宋体" w:hAnsi="宋体" w:eastAsia="黑体" w:cs="宋体"/>
      <w:bCs/>
      <w:kern w:val="44"/>
      <w:szCs w:val="48"/>
      <w:lang w:bidi="ar"/>
    </w:rPr>
  </w:style>
  <w:style w:type="character" w:customStyle="1" w:styleId="14">
    <w:name w:val="标题 3 Char"/>
    <w:link w:val="5"/>
    <w:qFormat/>
    <w:uiPriority w:val="0"/>
    <w:rPr>
      <w:rFonts w:ascii="Times New Roman" w:hAnsi="Times New Roman"/>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Zonghechu</dc:creator>
  <cp:lastModifiedBy>演示人</cp:lastModifiedBy>
  <dcterms:modified xsi:type="dcterms:W3CDTF">2023-02-17T04:02:07Z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