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内蒙古自治区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药品监督管理局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医疗机构“规范药房（库）管理”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操作指南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了提升医疗机构药品安全管理和药学服务水平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持续加强医疗机构药房（库）的人员、设施设备、管理制度等建设，促进药房（库）管理向科学化、规范化、制度化方向发展，便于推进医疗机构药房、药库规范化建设，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我局组织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起草了《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内蒙古自治区医疗机构“规范药房（库）”管理操作指南（征求意见稿）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（以下简称《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660"/>
          <w:tab w:val="left" w:pos="684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根据《中华人民共和国药品管理法》《中华人民共和国药品管理法实施条例》《药品经营和使用质量监督管理办法》《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药品经营质量管理规范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《医疗机构药品监督管理办法》《医疗机构管理条例》《医院分级管理办法》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等相关规定，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内蒙古自治区医疗机构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起草了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《指南》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按照持续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提升医疗机构药品安全管理和药学服务水平的总体要求</w:t>
      </w:r>
      <w:r>
        <w:rPr>
          <w:rFonts w:hint="default" w:ascii="sans-serif" w:hAnsi="sans-serif" w:eastAsia="sans-serif" w:cs="sans-serif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充分考虑历次与医疗机构及基层执法人员座谈、调研中收到的意见和建议，汇集局各相关处、检查分局和直属事业单位的思路和想法，吸取其他省局先进经验和做法，草拟了</w:t>
      </w:r>
      <w:r>
        <w:rPr>
          <w:rFonts w:hint="eastAsia" w:ascii="sans-serif" w:hAnsi="sans-serif" w:eastAsia="sans-serif" w:cs="sans-serif"/>
          <w:kern w:val="0"/>
          <w:sz w:val="32"/>
          <w:szCs w:val="32"/>
          <w:lang w:val="en-US" w:eastAsia="zh-CN" w:bidi="ar"/>
        </w:rPr>
        <w:t>《指南》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赴呼和浩特、乌海、阿拉善等地，联合当地市场监管局分别组织召开了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《指南》调研座谈会，各旗县区市场监管局、卫健委、政数局及医疗机构代表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400余人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参加了调研座谈会。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局相关处、分局、直属单位和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盟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座谈会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征求意见建议，最终形成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《“医疗机构药房（库）”规范建设操作指南（征求意见稿）》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660"/>
          <w:tab w:val="left" w:pos="684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四、主要内容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《指南》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法律依据、管理流程图、管理要点、补充说明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等方面，作出具体规定。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管理职责、人员管理、储存养护、购进验收、调配使用、追溯体系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提出了相关要求。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管理流程图，便于医疗机构了解掌握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按照医疗机构分级分裂原则，分别对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三级医院、二级医院、一级医院、门诊部、社区卫生服务站等医疗机构（不包括分级和备案管理类医疗机构）、诊所等备案类医疗机构（不需要登记取得《医疗机构执业许可证》的）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提出要求。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对相关概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念和要求进行补充说明。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60"/>
          <w:tab w:val="left" w:pos="6840"/>
          <w:tab w:val="left" w:pos="702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A7"/>
    <w:rsid w:val="000038A7"/>
    <w:rsid w:val="0011378D"/>
    <w:rsid w:val="001925A7"/>
    <w:rsid w:val="001D0BFB"/>
    <w:rsid w:val="002647DD"/>
    <w:rsid w:val="002651AA"/>
    <w:rsid w:val="002F6F26"/>
    <w:rsid w:val="00613D77"/>
    <w:rsid w:val="006F7A7C"/>
    <w:rsid w:val="0074257A"/>
    <w:rsid w:val="007B7017"/>
    <w:rsid w:val="007D0D4F"/>
    <w:rsid w:val="007E27B9"/>
    <w:rsid w:val="00847A30"/>
    <w:rsid w:val="00994D1A"/>
    <w:rsid w:val="009A35E6"/>
    <w:rsid w:val="009C1BCA"/>
    <w:rsid w:val="009C7DEF"/>
    <w:rsid w:val="009E1BB9"/>
    <w:rsid w:val="00AE18DF"/>
    <w:rsid w:val="00B24E12"/>
    <w:rsid w:val="00C93157"/>
    <w:rsid w:val="00CF2437"/>
    <w:rsid w:val="00D62793"/>
    <w:rsid w:val="00E803DE"/>
    <w:rsid w:val="00E930E7"/>
    <w:rsid w:val="00FA69A3"/>
    <w:rsid w:val="51DA7890"/>
    <w:rsid w:val="5F7F8A83"/>
    <w:rsid w:val="7FFBB610"/>
    <w:rsid w:val="FCD18EF9"/>
    <w:rsid w:val="FFBD1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1409</Characters>
  <Lines>11</Lines>
  <Paragraphs>3</Paragraphs>
  <TotalTime>1</TotalTime>
  <ScaleCrop>false</ScaleCrop>
  <LinksUpToDate>false</LinksUpToDate>
  <CharactersWithSpaces>1653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2024-05-31T02:11:00Z</dcterms:created>
  <dc:creator>刘斗</dc:creator>
  <cp:lastModifiedBy>syj</cp:lastModifiedBy>
  <cp:lastPrinted>2025-04-28T15:28:42Z</cp:lastPrinted>
  <dcterms:modified xsi:type="dcterms:W3CDTF">2025-04-28T15:39:30Z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